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Noto Sans SC" w:hAnsi="Noto Sans SC" w:eastAsia="Noto Sans SC"/>
          <w:b/>
          <w:color w:val="1F5FE5"/>
          <w:sz w:val="22"/>
        </w:rPr>
        <w:t>WHITE PAPER</w:t>
      </w:r>
    </w:p>
    <w:p>
      <w:pPr>
        <w:pStyle w:val="Title"/>
      </w:pPr>
      <w:r>
        <w:t>端云协同多模态方案白皮书</w:t>
      </w:r>
    </w:p>
    <w:p>
      <w:pPr>
        <w:pStyle w:val="Subtitle"/>
      </w:pPr>
      <w:r>
        <w:t>轻量级具身智能终端的设备、连接、平台、模型与应用协同设计</w:t>
      </w:r>
    </w:p>
    <w:p>
      <w:r>
        <w:rPr>
          <w:rFonts w:ascii="Noto Sans SC" w:hAnsi="Noto Sans SC" w:eastAsia="Noto Sans SC"/>
        </w:rPr>
        <w:t>杭州创客星辰科技有限公司</w:t>
      </w:r>
    </w:p>
    <w:p>
      <w:r>
        <w:rPr>
          <w:rFonts w:ascii="Noto Sans SC" w:hAnsi="Noto Sans SC" w:eastAsia="Noto Sans SC"/>
        </w:rPr>
        <w:t>网站公开版 · 2026年7月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1" name="Picture 1" descr="端云协同多模态五层架构概览" title="端云协同多模态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端云协同架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 SC" w:hAnsi="Noto Sans SC" w:eastAsia="Noto Sans SC"/>
          <w:color w:val="7C8BA1"/>
          <w:sz w:val="18"/>
        </w:rPr>
        <w:t>公开版架构概览</w:t>
      </w:r>
    </w:p>
    <w:p>
      <w:r>
        <w:br w:type="page"/>
      </w:r>
    </w:p>
    <w:p>
      <w:pPr>
        <w:pStyle w:val="Heading1"/>
      </w:pPr>
      <w:r>
        <w:t>摘要</w:t>
      </w:r>
    </w:p>
    <w:p>
      <w:r>
        <w:rPr>
          <w:rFonts w:ascii="Noto Sans SC" w:hAnsi="Noto Sans SC" w:eastAsia="Noto Sans SC"/>
        </w:rPr>
        <w:t>面向 AI 玩具、智能潮玩与陪伴设备，单一的语音对话能力已经不足以形成稳定的产品体验。端侧需要完成采集、播放、显示、触摸、震动、动作和状态反馈；云侧需要完成语音识别、对话编排、语音合成、内容管理、角色配置、记忆与 OTA。端云协同的目标，是把这些能力沉淀为可复用平台，使同一套能力能够适配不同硬件形态和国内/海外版本。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Noto Sans SC" w:hAnsi="Noto Sans SC" w:eastAsia="Noto Sans SC"/>
                <w:b/>
                <w:color w:val="073B73"/>
                <w:sz w:val="21"/>
              </w:rPr>
              <w:t>本白皮书依据《星辰产品手册》整理，为网站公开资料；不披露私有 API、密钥、引脚定义、客户数据或商业报价。</w:t>
            </w:r>
          </w:p>
        </w:tc>
      </w:tr>
    </w:tbl>
    <w:p>
      <w:pPr>
        <w:spacing w:after="40"/>
      </w:pPr>
    </w:p>
    <w:p>
      <w:pPr>
        <w:pStyle w:val="Heading2"/>
      </w:pPr>
      <w:r>
        <w:t>内容导航</w:t>
      </w:r>
    </w:p>
    <w:p>
      <w:pPr>
        <w:pStyle w:val="ListBullet"/>
      </w:pPr>
      <w:r>
        <w:rPr>
          <w:rFonts w:ascii="Noto Sans SC" w:hAnsi="Noto Sans SC" w:eastAsia="Noto Sans SC"/>
        </w:rPr>
        <w:t>端云协同架构与各层职责</w:t>
      </w:r>
    </w:p>
    <w:p>
      <w:pPr>
        <w:pStyle w:val="ListBullet"/>
      </w:pPr>
      <w:r>
        <w:rPr>
          <w:rFonts w:ascii="Noto Sans SC" w:hAnsi="Noto Sans SC" w:eastAsia="Noto Sans SC"/>
        </w:rPr>
        <w:t>语音、表情、触摸、震动、动作与视觉的多模态组合</w:t>
      </w:r>
    </w:p>
    <w:p>
      <w:pPr>
        <w:pStyle w:val="ListBullet"/>
      </w:pPr>
      <w:r>
        <w:rPr>
          <w:rFonts w:ascii="Noto Sans SC" w:hAnsi="Noto Sans SC" w:eastAsia="Noto Sans SC"/>
        </w:rPr>
        <w:t>角色、音色、内容与 MCP 长记忆</w:t>
      </w:r>
    </w:p>
    <w:p>
      <w:pPr>
        <w:pStyle w:val="ListBullet"/>
      </w:pPr>
      <w:r>
        <w:rPr>
          <w:rFonts w:ascii="Noto Sans SC" w:hAnsi="Noto Sans SC" w:eastAsia="Noto Sans SC"/>
        </w:rPr>
        <w:t>国内/海外模型路由与应用入口</w:t>
      </w:r>
    </w:p>
    <w:p>
      <w:pPr>
        <w:pStyle w:val="ListBullet"/>
      </w:pPr>
      <w:r>
        <w:rPr>
          <w:rFonts w:ascii="Noto Sans SC" w:hAnsi="Noto Sans SC" w:eastAsia="Noto Sans SC"/>
        </w:rPr>
        <w:t>硬件形态、选型原则与产品化路径</w:t>
      </w:r>
    </w:p>
    <w:p>
      <w:pPr>
        <w:pStyle w:val="ListBullet"/>
      </w:pPr>
      <w:r>
        <w:rPr>
          <w:rFonts w:ascii="Noto Sans SC" w:hAnsi="Noto Sans SC" w:eastAsia="Noto Sans SC"/>
        </w:rPr>
        <w:t>公开资料边界与项目交付边界</w:t>
      </w:r>
    </w:p>
    <w:p>
      <w:pPr>
        <w:pStyle w:val="Heading1"/>
      </w:pPr>
      <w:r>
        <w:t>1. 产品化挑战</w:t>
      </w:r>
    </w:p>
    <w:p>
      <w:r>
        <w:rPr>
          <w:rFonts w:ascii="Noto Sans SC" w:hAnsi="Noto Sans SC" w:eastAsia="Noto Sans SC"/>
        </w:rPr>
        <w:t>传统硬件接入 AI 的难点不只在于“能聊天”，而在于语音链路、硬件动作、角色表达、内容运营和版本管理能否共同工作。如果各能力分别开发，容易出现接口割裂、状态不同步、调试周期长和量产版本难维护等问题。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700"/>
        <w:gridCol w:w="3660"/>
        <w:gridCol w:w="4000"/>
      </w:tblGrid>
      <w:tr>
        <w:trPr>
          <w:tblHeader w:val="true"/>
        </w:trPr>
        <w:tc>
          <w:tcPr>
            <w:tcW w:type="dxa" w:w="170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挑战</w:t>
            </w:r>
          </w:p>
        </w:tc>
        <w:tc>
          <w:tcPr>
            <w:tcW w:type="dxa" w:w="366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典型表现</w:t>
            </w:r>
          </w:p>
        </w:tc>
        <w:tc>
          <w:tcPr>
            <w:tcW w:type="dxa" w:w="400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端云协同目标</w:t>
            </w:r>
          </w:p>
        </w:tc>
      </w:tr>
      <w:tr>
        <w:trPr/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硬件差异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无屏/有屏、Wi-Fi/4G、摄像头和动作机构组合不同</w:t>
            </w:r>
          </w:p>
        </w:tc>
        <w:tc>
          <w:tcPr>
            <w:tcW w:type="dxa" w:w="4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通过标准能力层适配多种产品形态</w:t>
            </w:r>
          </w:p>
        </w:tc>
      </w:tr>
      <w:tr>
        <w:trPr/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交互不同步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说话、表情、灯光、震动和动作各自运行</w:t>
            </w:r>
          </w:p>
        </w:tc>
        <w:tc>
          <w:tcPr>
            <w:tcW w:type="dxa" w:w="4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建立统一状态与事件联动</w:t>
            </w:r>
          </w:p>
        </w:tc>
      </w:tr>
      <w:tr>
        <w:trPr/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角色不一致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模型、音色、知识库和内容口径不统一</w:t>
            </w:r>
          </w:p>
        </w:tc>
        <w:tc>
          <w:tcPr>
            <w:tcW w:type="dxa" w:w="4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将人设、音色、内容和模型作为一个版本管理</w:t>
            </w:r>
          </w:p>
        </w:tc>
      </w:tr>
      <w:tr>
        <w:trPr/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持续运营难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资源更新依赖返厂或人工处理</w:t>
            </w:r>
          </w:p>
        </w:tc>
        <w:tc>
          <w:tcPr>
            <w:tcW w:type="dxa" w:w="4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通过 APP/小程序、PC 内容处理与 OTA 迭代</w:t>
            </w:r>
          </w:p>
        </w:tc>
      </w:tr>
      <w:tr>
        <w:trPr/>
        <w:tc>
          <w:tcPr>
            <w:tcW w:type="dxa" w:w="1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市场版本复杂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国内外模型、语言和应用入口不同</w:t>
            </w:r>
          </w:p>
        </w:tc>
        <w:tc>
          <w:tcPr>
            <w:tcW w:type="dxa" w:w="4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按区域配置模型路由、语言与应用入口</w:t>
            </w:r>
          </w:p>
        </w:tc>
      </w:tr>
    </w:tbl>
    <w:p>
      <w:pPr>
        <w:spacing w:after="40"/>
      </w:pPr>
    </w:p>
    <w:p>
      <w:pPr>
        <w:pStyle w:val="Heading1"/>
      </w:pPr>
      <w:r>
        <w:t>2. 五层端云协同架构</w:t>
      </w:r>
    </w:p>
    <w:p>
      <w:r>
        <w:drawing>
          <wp:inline xmlns:a="http://schemas.openxmlformats.org/drawingml/2006/main" xmlns:pic="http://schemas.openxmlformats.org/drawingml/2006/picture">
            <wp:extent cx="5669280" cy="3188970"/>
            <wp:docPr id="2" name="Picture 2" descr="设备与交互、连接、平台能力、模型与记忆、应用与运营五层协同架构图" title="端云协同多模态五层架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端云协同架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8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Noto Sans SC" w:hAnsi="Noto Sans SC" w:eastAsia="Noto Sans SC"/>
          <w:color w:val="7C8BA1"/>
          <w:sz w:val="18"/>
        </w:rPr>
        <w:t>图 1 端云协同多模态公开版架构</w:t>
      </w:r>
    </w:p>
    <w:p>
      <w:r>
        <w:rPr>
          <w:rFonts w:ascii="Noto Sans SC" w:hAnsi="Noto Sans SC" w:eastAsia="Noto Sans SC"/>
          <w:b/>
          <w:color w:val="15304F"/>
        </w:rPr>
        <w:t>设备与交互层：</w:t>
      </w:r>
      <w:r>
        <w:rPr>
          <w:rFonts w:ascii="Noto Sans SC" w:hAnsi="Noto Sans SC" w:eastAsia="Noto Sans SC"/>
        </w:rPr>
        <w:t>负责麦克风、喇叭、屏幕、触摸、震动、动作机构、摄像头、RGB 和按键等本地能力。</w:t>
      </w:r>
    </w:p>
    <w:p>
      <w:r>
        <w:rPr>
          <w:rFonts w:ascii="Noto Sans SC" w:hAnsi="Noto Sans SC" w:eastAsia="Noto Sans SC"/>
          <w:b/>
          <w:color w:val="15304F"/>
        </w:rPr>
        <w:t>连接层：</w:t>
      </w:r>
      <w:r>
        <w:rPr>
          <w:rFonts w:ascii="Noto Sans SC" w:hAnsi="Noto Sans SC" w:eastAsia="Noto Sans SC"/>
        </w:rPr>
        <w:t>负责 Wi-Fi 或 Wi-Fi+4G 联网、设备配网、会话保持、状态与事件上报。</w:t>
      </w:r>
    </w:p>
    <w:p>
      <w:r>
        <w:rPr>
          <w:rFonts w:ascii="Noto Sans SC" w:hAnsi="Noto Sans SC" w:eastAsia="Noto Sans SC"/>
          <w:b/>
          <w:color w:val="15304F"/>
        </w:rPr>
        <w:t>平台能力层：</w:t>
      </w:r>
      <w:r>
        <w:rPr>
          <w:rFonts w:ascii="Noto Sans SC" w:hAnsi="Noto Sans SC" w:eastAsia="Noto Sans SC"/>
        </w:rPr>
        <w:t>负责语音识别、对话编排、语音合成、内容管理、设备管理与 OTA。</w:t>
      </w:r>
    </w:p>
    <w:p>
      <w:r>
        <w:rPr>
          <w:rFonts w:ascii="Noto Sans SC" w:hAnsi="Noto Sans SC" w:eastAsia="Noto Sans SC"/>
          <w:b/>
          <w:color w:val="15304F"/>
        </w:rPr>
        <w:t>模型与记忆层：</w:t>
      </w:r>
      <w:r>
        <w:rPr>
          <w:rFonts w:ascii="Noto Sans SC" w:hAnsi="Noto Sans SC" w:eastAsia="Noto Sans SC"/>
        </w:rPr>
        <w:t>组合 DeepSeek、千问3、豆包等模型能力，并通过角色配置和 MCP 长记忆形成持续体验。</w:t>
      </w:r>
    </w:p>
    <w:p>
      <w:r>
        <w:rPr>
          <w:rFonts w:ascii="Noto Sans SC" w:hAnsi="Noto Sans SC" w:eastAsia="Noto Sans SC"/>
          <w:b/>
          <w:color w:val="15304F"/>
        </w:rPr>
        <w:t>应用与运营层：</w:t>
      </w:r>
      <w:r>
        <w:rPr>
          <w:rFonts w:ascii="Noto Sans SC" w:hAnsi="Noto Sans SC" w:eastAsia="Noto Sans SC"/>
        </w:rPr>
        <w:t>通过智慧伙伴 APP、微信小程序与 PC 内容处理入口完成用户使用和运营管理。</w:t>
      </w:r>
    </w:p>
    <w:p>
      <w:pPr>
        <w:pStyle w:val="Heading1"/>
      </w:pPr>
      <w:r>
        <w:t>3. 多模态交互设计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200"/>
        <w:gridCol w:w="3060"/>
        <w:gridCol w:w="5100"/>
      </w:tblGrid>
      <w:tr>
        <w:trPr>
          <w:tblHeader w:val="true"/>
        </w:trPr>
        <w:tc>
          <w:tcPr>
            <w:tcW w:type="dxa" w:w="120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模态</w:t>
            </w:r>
          </w:p>
        </w:tc>
        <w:tc>
          <w:tcPr>
            <w:tcW w:type="dxa" w:w="306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设备能力</w:t>
            </w:r>
          </w:p>
        </w:tc>
        <w:tc>
          <w:tcPr>
            <w:tcW w:type="dxa" w:w="510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设计要点</w:t>
            </w:r>
          </w:p>
        </w:tc>
      </w:tr>
      <w:tr>
        <w:trPr/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语音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唤醒、识别、合成、打断</w:t>
            </w:r>
          </w:p>
        </w:tc>
        <w:tc>
          <w:tcPr>
            <w:tcW w:type="dxa" w:w="5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保证聆听、思考、说话和异常状态清晰可感知</w:t>
            </w:r>
          </w:p>
        </w:tc>
      </w:tr>
      <w:tr>
        <w:trPr/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表情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双眼屏、单屏角色表情</w:t>
            </w:r>
          </w:p>
        </w:tc>
        <w:tc>
          <w:tcPr>
            <w:tcW w:type="dxa" w:w="5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表情需要与角色语气和语音状态一致</w:t>
            </w:r>
          </w:p>
        </w:tc>
      </w:tr>
      <w:tr>
        <w:trPr/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触觉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电容触摸、震动马达</w:t>
            </w:r>
          </w:p>
        </w:tc>
        <w:tc>
          <w:tcPr>
            <w:tcW w:type="dxa" w:w="5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避免误触发，并定义触摸位置与反馈强度</w:t>
            </w:r>
          </w:p>
        </w:tc>
      </w:tr>
      <w:tr>
        <w:trPr/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动作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可动机芯、预置动作</w:t>
            </w:r>
          </w:p>
        </w:tc>
        <w:tc>
          <w:tcPr>
            <w:tcW w:type="dxa" w:w="5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将开放式对话意图映射为有限且安全的动作集合</w:t>
            </w:r>
          </w:p>
        </w:tc>
      </w:tr>
      <w:tr>
        <w:trPr/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视觉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30W/200W 摄像头可选</w:t>
            </w:r>
          </w:p>
        </w:tc>
        <w:tc>
          <w:tcPr>
            <w:tcW w:type="dxa" w:w="5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明确识别范围、用户提示和数据边界</w:t>
            </w:r>
          </w:p>
        </w:tc>
      </w:tr>
      <w:tr>
        <w:trPr/>
        <w:tc>
          <w:tcPr>
            <w:tcW w:type="dxa" w:w="1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环境反馈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RGB、按键、近距离感应可扩展</w:t>
            </w:r>
          </w:p>
        </w:tc>
        <w:tc>
          <w:tcPr>
            <w:tcW w:type="dxa" w:w="5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用于配网、状态、提醒和轻量互动</w:t>
            </w:r>
          </w:p>
        </w:tc>
      </w:tr>
    </w:tbl>
    <w:p>
      <w:pPr>
        <w:spacing w:after="40"/>
      </w:pPr>
    </w:p>
    <w:p>
      <w:r>
        <w:rPr>
          <w:rFonts w:ascii="Noto Sans SC" w:hAnsi="Noto Sans SC" w:eastAsia="Noto Sans SC"/>
        </w:rPr>
        <w:t>多模态并不意味着所有硬件都必须同时配置。产品应围绕核心场景选择最少但完整的反馈闭环，例如“语音 + 双眼表情”“语音 + 触摸/震动”或“语音 + 动作机芯”。</w:t>
      </w:r>
    </w:p>
    <w:p>
      <w:pPr>
        <w:pStyle w:val="Heading1"/>
      </w:pPr>
      <w:r>
        <w:t>4. 角色、内容与长期记忆</w:t>
      </w:r>
    </w:p>
    <w:p>
      <w:pPr>
        <w:pStyle w:val="ListBullet"/>
      </w:pPr>
      <w:r>
        <w:rPr>
          <w:rFonts w:ascii="Noto Sans SC" w:hAnsi="Noto Sans SC" w:eastAsia="Noto Sans SC"/>
        </w:rPr>
        <w:t>角色：名称、性格、提示词、行为边界与语言风格共同决定角色表现。</w:t>
      </w:r>
    </w:p>
    <w:p>
      <w:pPr>
        <w:pStyle w:val="ListBullet"/>
      </w:pPr>
      <w:r>
        <w:rPr>
          <w:rFonts w:ascii="Noto Sans SC" w:hAnsi="Noto Sans SC" w:eastAsia="Noto Sans SC"/>
        </w:rPr>
        <w:t>音色：按项目配置音色，可扩展声音克隆；具体权益以项目确认结果为准。</w:t>
      </w:r>
    </w:p>
    <w:p>
      <w:pPr>
        <w:pStyle w:val="ListBullet"/>
      </w:pPr>
      <w:r>
        <w:rPr>
          <w:rFonts w:ascii="Noto Sans SC" w:hAnsi="Noto Sans SC" w:eastAsia="Noto Sans SC"/>
        </w:rPr>
        <w:t>内容：可组合故事、音乐、听书、知识库和品牌专属内容。</w:t>
      </w:r>
    </w:p>
    <w:p>
      <w:pPr>
        <w:pStyle w:val="ListBullet"/>
      </w:pPr>
      <w:r>
        <w:rPr>
          <w:rFonts w:ascii="Noto Sans SC" w:hAnsi="Noto Sans SC" w:eastAsia="Noto Sans SC"/>
        </w:rPr>
        <w:t>情绪：机芯方案可提供 21 种情绪表达，表情资源可按屏幕和角色继续扩展。</w:t>
      </w:r>
    </w:p>
    <w:p>
      <w:pPr>
        <w:pStyle w:val="ListBullet"/>
      </w:pPr>
      <w:r>
        <w:rPr>
          <w:rFonts w:ascii="Noto Sans SC" w:hAnsi="Noto Sans SC" w:eastAsia="Noto Sans SC"/>
        </w:rPr>
        <w:t>记忆：MCP 长记忆基础能力用于持续互动，进阶版可扩展成长档案与分析能力。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/>
            <w:r>
              <w:rPr>
                <w:rFonts w:ascii="Noto Sans SC" w:hAnsi="Noto Sans SC" w:eastAsia="Noto Sans SC"/>
                <w:b/>
                <w:color w:val="073B73"/>
                <w:sz w:val="21"/>
              </w:rPr>
              <w:t>角色体验的一致性优先于模型数量。模型切换时，人设、音色、知识库、记忆和内容策略应使用同一配置版本。</w:t>
            </w:r>
          </w:p>
        </w:tc>
      </w:tr>
    </w:tbl>
    <w:p>
      <w:pPr>
        <w:spacing w:after="40"/>
      </w:pPr>
    </w:p>
    <w:p>
      <w:pPr>
        <w:pStyle w:val="Heading1"/>
      </w:pPr>
      <w:r>
        <w:t>5. 国内与海外版本规划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3630"/>
        <w:gridCol w:w="4230"/>
      </w:tblGrid>
      <w:tr>
        <w:trPr>
          <w:tblHeader w:val="true"/>
        </w:trPr>
        <w:tc>
          <w:tcPr>
            <w:tcW w:type="dxa" w:w="150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维度</w:t>
            </w:r>
          </w:p>
        </w:tc>
        <w:tc>
          <w:tcPr>
            <w:tcW w:type="dxa" w:w="363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国内版本</w:t>
            </w:r>
          </w:p>
        </w:tc>
        <w:tc>
          <w:tcPr>
            <w:tcW w:type="dxa" w:w="423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海外/跨境版本</w:t>
            </w:r>
          </w:p>
        </w:tc>
      </w:tr>
      <w:tr>
        <w:trPr/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应用入口</w:t>
            </w:r>
          </w:p>
        </w:tc>
        <w:tc>
          <w:tcPr>
            <w:tcW w:type="dxa" w:w="36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微信小程序、智慧伙伴 APP</w:t>
            </w:r>
          </w:p>
        </w:tc>
        <w:tc>
          <w:tcPr>
            <w:tcW w:type="dxa" w:w="4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全球市场 APP 或项目定制入口</w:t>
            </w:r>
          </w:p>
        </w:tc>
      </w:tr>
      <w:tr>
        <w:trPr/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模型路由</w:t>
            </w:r>
          </w:p>
        </w:tc>
        <w:tc>
          <w:tcPr>
            <w:tcW w:type="dxa" w:w="36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按项目接入国内可用模型</w:t>
            </w:r>
          </w:p>
        </w:tc>
        <w:tc>
          <w:tcPr>
            <w:tcW w:type="dxa" w:w="4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按地区与语言配置海外模型或路由</w:t>
            </w:r>
          </w:p>
        </w:tc>
      </w:tr>
      <w:tr>
        <w:trPr/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语言</w:t>
            </w:r>
          </w:p>
        </w:tc>
        <w:tc>
          <w:tcPr>
            <w:tcW w:type="dxa" w:w="36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中文及项目约定语言</w:t>
            </w:r>
          </w:p>
        </w:tc>
        <w:tc>
          <w:tcPr>
            <w:tcW w:type="dxa" w:w="4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手册标注支持 30+ 国家语言，具体清单以交付包为准</w:t>
            </w:r>
          </w:p>
        </w:tc>
      </w:tr>
      <w:tr>
        <w:trPr/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联网</w:t>
            </w:r>
          </w:p>
        </w:tc>
        <w:tc>
          <w:tcPr>
            <w:tcW w:type="dxa" w:w="36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Wi-Fi 为基础，可选 Wi-Fi+4G</w:t>
            </w:r>
          </w:p>
        </w:tc>
        <w:tc>
          <w:tcPr>
            <w:tcW w:type="dxa" w:w="4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按国家频段、网络与认证要求确认</w:t>
            </w:r>
          </w:p>
        </w:tc>
      </w:tr>
      <w:tr>
        <w:trPr/>
        <w:tc>
          <w:tcPr>
            <w:tcW w:type="dxa" w:w="1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合规</w:t>
            </w:r>
          </w:p>
        </w:tc>
        <w:tc>
          <w:tcPr>
            <w:tcW w:type="dxa" w:w="36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按产品品类和销售渠道确认</w:t>
            </w:r>
          </w:p>
        </w:tc>
        <w:tc>
          <w:tcPr>
            <w:tcW w:type="dxa" w:w="4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认证、数据、内容和应用商店要求需逐地区核对</w:t>
            </w:r>
          </w:p>
        </w:tc>
      </w:tr>
    </w:tbl>
    <w:p>
      <w:pPr>
        <w:spacing w:after="40"/>
      </w:pPr>
    </w:p>
    <w:p>
      <w:r>
        <w:rPr>
          <w:rFonts w:ascii="Noto Sans SC" w:hAnsi="Noto Sans SC" w:eastAsia="Noto Sans SC"/>
        </w:rPr>
        <w:t>手册标注 Peeby 产品支持跨境，并标注已通过 3C、CE、RoHS、FCC。上述认证仅能按对应产品型号、地区和证书范围使用，项目上市前应复核正式证书。</w:t>
      </w:r>
    </w:p>
    <w:p>
      <w:pPr>
        <w:pStyle w:val="Heading1"/>
      </w:pPr>
      <w:r>
        <w:t>6. 代表硬件形态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1800"/>
        <w:gridCol w:w="6160"/>
      </w:tblGrid>
      <w:tr>
        <w:trPr>
          <w:tblHeader w:val="true"/>
        </w:trPr>
        <w:tc>
          <w:tcPr>
            <w:tcW w:type="dxa" w:w="140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形态</w:t>
            </w:r>
          </w:p>
        </w:tc>
        <w:tc>
          <w:tcPr>
            <w:tcW w:type="dxa" w:w="180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代表方案</w:t>
            </w:r>
          </w:p>
        </w:tc>
        <w:tc>
          <w:tcPr>
            <w:tcW w:type="dxa" w:w="6160"/>
            <w:shd w:fill="EAF1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/>
            <w:r>
              <w:rPr>
                <w:rFonts w:ascii="Noto Sans SC" w:hAnsi="Noto Sans SC" w:eastAsia="Noto Sans SC"/>
                <w:b/>
                <w:color w:val="073B73"/>
                <w:sz w:val="18"/>
              </w:rPr>
              <w:t>公开参数与能力</w:t>
            </w:r>
          </w:p>
        </w:tc>
      </w:tr>
      <w:tr>
        <w:trPr/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语音模组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ADB1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面向传统硬件 AI 升级，端云一体，强调易集成与快速产品化</w:t>
            </w:r>
          </w:p>
        </w:tc>
      </w:tr>
      <w:tr>
        <w:trPr/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普通版机芯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乐鑫 S3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0.71/1.28 英寸双屏，1500mAh，2W8R，Wi-Fi/Wi-Fi+4G，可选摄像头</w:t>
            </w:r>
          </w:p>
        </w:tc>
      </w:tr>
      <w:tr>
        <w:trPr/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Pro 版机芯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博通 BK7258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0.71/1.28 英寸双屏，600mAh，2W8R，Wi-Fi/Wi-Fi+4G</w:t>
            </w:r>
          </w:p>
        </w:tc>
      </w:tr>
      <w:tr>
        <w:trPr/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桌面潮玩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星喵 BUBBLE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1.851 英寸屏幕，1200mAh，3W4R，Wi-Fi，21 种情绪表达</w:t>
            </w:r>
          </w:p>
        </w:tc>
      </w:tr>
      <w:tr>
        <w:trPr/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可动宠物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CK01/CK02</w:t>
            </w:r>
          </w:p>
        </w:tc>
        <w:tc>
          <w:tcPr>
            <w:tcW w:type="dxa" w:w="6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/>
            <w:r>
              <w:rPr>
                <w:rFonts w:ascii="Noto Sans SC" w:hAnsi="Noto Sans SC" w:eastAsia="Noto Sans SC"/>
                <w:color w:val="475569"/>
                <w:sz w:val="18"/>
              </w:rPr>
              <w:t>对话、儿童内容、预置动作，支持性格/音色/名称定制</w:t>
            </w:r>
          </w:p>
        </w:tc>
      </w:tr>
    </w:tbl>
    <w:p>
      <w:pPr>
        <w:spacing w:after="40"/>
      </w:pPr>
    </w:p>
    <w:p>
      <w:pPr>
        <w:pStyle w:val="Heading1"/>
      </w:pPr>
      <w:r>
        <w:t>7. 从需求到量产</w:t>
      </w:r>
    </w:p>
    <w:p>
      <w:pPr>
        <w:pStyle w:val="ListBullet"/>
      </w:pPr>
      <w:r>
        <w:rPr>
          <w:rFonts w:ascii="Noto Sans SC" w:hAnsi="Noto Sans SC" w:eastAsia="Noto Sans SC"/>
        </w:rPr>
        <w:t>产品定义：确定用户、人设、核心场景、目标市场、联网方式和成本区间。</w:t>
      </w:r>
    </w:p>
    <w:p>
      <w:pPr>
        <w:pStyle w:val="ListBullet"/>
      </w:pPr>
      <w:r>
        <w:rPr>
          <w:rFonts w:ascii="Noto Sans SC" w:hAnsi="Noto Sans SC" w:eastAsia="Noto Sans SC"/>
        </w:rPr>
        <w:t>硬件选型：选择模组/机芯、屏幕、供电、麦克风、喇叭、触摸、震动、摄像头与动作机构。</w:t>
      </w:r>
    </w:p>
    <w:p>
      <w:pPr>
        <w:pStyle w:val="ListBullet"/>
      </w:pPr>
      <w:r>
        <w:rPr>
          <w:rFonts w:ascii="Noto Sans SC" w:hAnsi="Noto Sans SC" w:eastAsia="Noto Sans SC"/>
        </w:rPr>
        <w:t>端云配置：配置模型路由、提示词、音色、内容库、记忆、应用入口与状态联动。</w:t>
      </w:r>
    </w:p>
    <w:p>
      <w:pPr>
        <w:pStyle w:val="ListBullet"/>
      </w:pPr>
      <w:r>
        <w:rPr>
          <w:rFonts w:ascii="Noto Sans SC" w:hAnsi="Noto Sans SC" w:eastAsia="Noto Sans SC"/>
        </w:rPr>
        <w:t>样机联调：验证声学、结构、对话、多模态、弱网、续航、异常恢复与 OTA。</w:t>
      </w:r>
    </w:p>
    <w:p>
      <w:pPr>
        <w:pStyle w:val="ListBullet"/>
      </w:pPr>
      <w:r>
        <w:rPr>
          <w:rFonts w:ascii="Noto Sans SC" w:hAnsi="Noto Sans SC" w:eastAsia="Noto Sans SC"/>
        </w:rPr>
        <w:t>量产交付：冻结 BOM、结构、固件、平台配置、测试工艺与验收标准。</w:t>
      </w:r>
    </w:p>
    <w:p>
      <w:r>
        <w:rPr>
          <w:rFonts w:ascii="Noto Sans SC" w:hAnsi="Noto Sans SC" w:eastAsia="Noto Sans SC"/>
        </w:rPr>
        <w:t>手册中将 ADB1 描述为可在 1-2 周内完成智能升级。该描述适用于标准能力与接口条件较明确的项目；涉及新结构、新硬件、新应用或深度定制时，应按实际工作范围重新评估周期。</w:t>
      </w:r>
    </w:p>
    <w:p>
      <w:pPr>
        <w:pStyle w:val="Heading1"/>
      </w:pPr>
      <w:r>
        <w:t>8. 公开资料与项目交付边界</w:t>
      </w:r>
    </w:p>
    <w:p>
      <w:r>
        <w:rPr>
          <w:rFonts w:ascii="Noto Sans SC" w:hAnsi="Noto Sans SC" w:eastAsia="Noto Sans SC"/>
          <w:b/>
          <w:color w:val="15304F"/>
        </w:rPr>
        <w:t>公开版：</w:t>
      </w:r>
      <w:r>
        <w:rPr>
          <w:rFonts w:ascii="Noto Sans SC" w:hAnsi="Noto Sans SC" w:eastAsia="Noto Sans SC"/>
        </w:rPr>
        <w:t>产品定位、能力范围、架构、场景、选型原则与接入流程。</w:t>
      </w:r>
    </w:p>
    <w:p>
      <w:r>
        <w:rPr>
          <w:rFonts w:ascii="Noto Sans SC" w:hAnsi="Noto Sans SC" w:eastAsia="Noto Sans SC"/>
          <w:b/>
          <w:color w:val="15304F"/>
        </w:rPr>
        <w:t>项目交付版：</w:t>
      </w:r>
      <w:r>
        <w:rPr>
          <w:rFonts w:ascii="Noto Sans SC" w:hAnsi="Noto Sans SC" w:eastAsia="Noto Sans SC"/>
        </w:rPr>
        <w:t>尺寸、电气、引脚、协议、SDK、私有 API、密钥、BOM、固件与验收标准。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SC" w:hAnsi="Noto Sans SC" w:eastAsia="Noto Sans SC"/>
        <w:color w:val="7C8BA1"/>
        <w:sz w:val="17"/>
      </w:rPr>
      <w:t>创客星辰 · 官网下载资料</w:t>
    </w:r>
    <w:r>
      <w:rPr>
        <w:rFonts w:ascii="Noto Sans SC" w:hAnsi="Noto Sans SC" w:eastAsia="Noto Sans SC"/>
        <w:color w:val="7C8BA1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Noto Sans SC" w:hAnsi="Noto Sans SC" w:eastAsia="Noto Sans SC"/>
        <w:color w:val="7C8BA1"/>
        <w:sz w:val="17"/>
      </w:rPr>
      <w:t>杭州创客星辰科技有限公司  |  端云协同多模态方案白皮书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0" w:lineRule="auto"/>
    </w:pPr>
    <w:rPr>
      <w:rFonts w:ascii="Noto Sans SC" w:hAnsi="Noto Sans SC" w:eastAsia="Noto Sans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Noto Sans SC" w:hAnsi="Noto Sans SC" w:eastAsia="Noto Sans SC"/>
      <w:b/>
      <w:bCs/>
      <w:color w:val="073B7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Noto Sans SC" w:hAnsi="Noto Sans SC" w:eastAsia="Noto Sans SC"/>
      <w:b/>
      <w:bCs/>
      <w:color w:val="1F5FE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Noto Sans SC" w:hAnsi="Noto Sans SC" w:eastAsia="Noto Sans SC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Noto Sans SC" w:hAnsi="Noto Sans SC" w:eastAsia="Noto Sans SC"/>
      <w:b/>
      <w:color w:val="073B73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400"/>
    </w:pPr>
    <w:rPr>
      <w:rFonts w:asciiTheme="majorHAnsi" w:eastAsiaTheme="majorEastAsia" w:hAnsiTheme="majorHAnsi" w:cstheme="majorBidi" w:ascii="Noto Sans SC" w:hAnsi="Noto Sans SC" w:eastAsia="Noto Sans SC"/>
      <w:b w:val="0"/>
      <w:i/>
      <w:iCs/>
      <w:color w:val="475569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90" w:lineRule="auto"/>
      <w:ind w:left="540" w:hanging="279"/>
      <w:contextualSpacing/>
    </w:pPr>
    <w:rPr>
      <w:rFonts w:ascii="Noto Sans SC" w:hAnsi="Noto Sans SC" w:eastAsia="Noto Sans SC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端云协同多模态方案白皮书</dc:title>
  <dc:subject>轻量级具身智能终端端云架构公开说明</dc:subject>
  <dc:creator>杭州创客星辰科技有限公司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